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AD1C" w14:textId="77777777" w:rsidR="00B7240B" w:rsidRPr="00D87408" w:rsidRDefault="00B7240B" w:rsidP="00B7240B">
      <w:pPr>
        <w:autoSpaceDE w:val="0"/>
        <w:autoSpaceDN w:val="0"/>
        <w:adjustRightInd w:val="0"/>
        <w:jc w:val="center"/>
        <w:rPr>
          <w:rFonts w:ascii="Faustina" w:hAnsi="Faustina" w:cs="Times-Bold"/>
          <w:b/>
          <w:bCs/>
          <w:lang w:val="es-AR" w:eastAsia="es-AR"/>
        </w:rPr>
      </w:pPr>
      <w:bookmarkStart w:id="0" w:name="_heading=h.gjdgxs" w:colFirst="0" w:colLast="0"/>
      <w:bookmarkEnd w:id="0"/>
      <w:r w:rsidRPr="00D87408">
        <w:rPr>
          <w:rFonts w:ascii="Faustina" w:hAnsi="Faustina" w:cs="Times-Bold"/>
          <w:b/>
          <w:bCs/>
          <w:lang w:val="es-AR" w:eastAsia="es-AR"/>
        </w:rPr>
        <w:t>CONVENIO MARCO DE COOPERACIÓN</w:t>
      </w:r>
    </w:p>
    <w:p w14:paraId="5C92BA00" w14:textId="3D88B619" w:rsidR="00B7240B" w:rsidRDefault="00B7240B" w:rsidP="00B7240B">
      <w:pPr>
        <w:autoSpaceDE w:val="0"/>
        <w:autoSpaceDN w:val="0"/>
        <w:adjustRightInd w:val="0"/>
        <w:jc w:val="center"/>
        <w:rPr>
          <w:rFonts w:ascii="Faustina" w:hAnsi="Faustina" w:cs="Times-Bold"/>
          <w:b/>
          <w:bCs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>ENTRE LA UNIVERSIDAD NACIONAL DE GENERAL SAN MARTÍN Y</w:t>
      </w:r>
      <w:r>
        <w:rPr>
          <w:rFonts w:ascii="Faustina" w:hAnsi="Faustina" w:cs="Times-Bold"/>
          <w:b/>
          <w:bCs/>
          <w:lang w:val="es-AR" w:eastAsia="es-AR"/>
        </w:rPr>
        <w:t xml:space="preserve"> </w:t>
      </w:r>
      <w:r w:rsidR="00B15800">
        <w:rPr>
          <w:rFonts w:ascii="Faustina" w:hAnsi="Faustina" w:cs="Times-Bold"/>
          <w:b/>
          <w:bCs/>
          <w:lang w:val="es-AR" w:eastAsia="es-AR"/>
        </w:rPr>
        <w:t>CRUZ ROJA ARGENTINA</w:t>
      </w:r>
    </w:p>
    <w:p w14:paraId="03F68000" w14:textId="77777777" w:rsidR="00B7240B" w:rsidRPr="00577FF5" w:rsidRDefault="00B7240B" w:rsidP="00B7240B">
      <w:pPr>
        <w:autoSpaceDE w:val="0"/>
        <w:autoSpaceDN w:val="0"/>
        <w:adjustRightInd w:val="0"/>
        <w:jc w:val="center"/>
        <w:rPr>
          <w:rFonts w:ascii="Faustina" w:hAnsi="Faustina" w:cs="Times-Bold"/>
          <w:b/>
          <w:bCs/>
          <w:lang w:val="es-AR" w:eastAsia="es-AR"/>
        </w:rPr>
      </w:pPr>
    </w:p>
    <w:p w14:paraId="22993CFE" w14:textId="6C8E7388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Roman"/>
          <w:lang w:val="es-AR" w:eastAsia="es-AR"/>
        </w:rPr>
        <w:t xml:space="preserve">Entre la </w:t>
      </w:r>
      <w:r w:rsidRPr="00D87408">
        <w:rPr>
          <w:rFonts w:ascii="Faustina" w:hAnsi="Faustina" w:cs="Times-Bold"/>
          <w:b/>
          <w:bCs/>
          <w:lang w:val="es-AR" w:eastAsia="es-AR"/>
        </w:rPr>
        <w:t>UNIVERSIDAD NACIONAL DE GENERAL SAN MARTÍN</w:t>
      </w:r>
      <w:r w:rsidRPr="00D87408">
        <w:rPr>
          <w:rFonts w:ascii="Faustina" w:hAnsi="Faustina" w:cs="Times-Roman"/>
          <w:lang w:val="es-AR" w:eastAsia="es-AR"/>
        </w:rPr>
        <w:t>, en adelante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 xml:space="preserve">UNSAM, con sede en </w:t>
      </w:r>
      <w:r w:rsidR="006D4CC9">
        <w:rPr>
          <w:rFonts w:ascii="Faustina" w:hAnsi="Faustina" w:cs="Times-Roman"/>
          <w:lang w:val="es-AR" w:eastAsia="es-AR"/>
        </w:rPr>
        <w:t>Av. 25 de mayo 1405</w:t>
      </w:r>
      <w:r w:rsidRPr="00D87408">
        <w:rPr>
          <w:rFonts w:ascii="Faustina" w:hAnsi="Faustina" w:cs="Times-Roman"/>
          <w:lang w:val="es-AR" w:eastAsia="es-AR"/>
        </w:rPr>
        <w:t>, Partido de Gral. San Martín, Provincia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de Buenos Aires, República Argentina, representada en este acto por su Rector,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 xml:space="preserve">Contador Carlos GRECO; por una parte, y por la otra </w:t>
      </w:r>
      <w:r w:rsidR="00B15800" w:rsidRPr="009B06B9">
        <w:rPr>
          <w:rFonts w:ascii="Faustina" w:hAnsi="Faustina" w:cs="Times-Bold"/>
          <w:b/>
          <w:bCs/>
          <w:lang w:val="es-AR" w:eastAsia="es-AR"/>
        </w:rPr>
        <w:t xml:space="preserve">CRUZ ROJA ARGENTINA </w:t>
      </w:r>
      <w:r w:rsidRPr="009B06B9">
        <w:rPr>
          <w:rFonts w:ascii="Faustina" w:hAnsi="Faustina" w:cs="Times-Roman"/>
          <w:lang w:val="es-AR" w:eastAsia="es-AR"/>
        </w:rPr>
        <w:t>constituyendo domicilio especial en la calle</w:t>
      </w:r>
      <w:r w:rsidR="00B15800" w:rsidRPr="009B06B9">
        <w:rPr>
          <w:rFonts w:ascii="Faustina" w:hAnsi="Faustina" w:cs="Times-Roman"/>
          <w:b/>
          <w:bCs/>
          <w:lang w:val="es-AR" w:eastAsia="es-AR"/>
        </w:rPr>
        <w:t xml:space="preserve"> Hipólito </w:t>
      </w:r>
      <w:r w:rsidR="00930633" w:rsidRPr="009B06B9">
        <w:rPr>
          <w:rFonts w:ascii="Faustina" w:hAnsi="Faustina" w:cs="Times-Roman"/>
          <w:b/>
          <w:bCs/>
          <w:lang w:val="es-AR" w:eastAsia="es-AR"/>
        </w:rPr>
        <w:t>Yrigoyen</w:t>
      </w:r>
      <w:r w:rsidR="00B15800" w:rsidRPr="009B06B9">
        <w:rPr>
          <w:rFonts w:ascii="Faustina" w:hAnsi="Faustina" w:cs="Times-Roman"/>
          <w:b/>
          <w:bCs/>
          <w:lang w:val="es-AR" w:eastAsia="es-AR"/>
        </w:rPr>
        <w:t xml:space="preserve"> 2068</w:t>
      </w:r>
      <w:r w:rsidRPr="009B06B9">
        <w:rPr>
          <w:rFonts w:ascii="Faustina" w:hAnsi="Faustina" w:cs="Times-Roman"/>
          <w:lang w:val="es-AR" w:eastAsia="es-AR"/>
        </w:rPr>
        <w:t xml:space="preserve">, </w:t>
      </w:r>
      <w:r w:rsidR="00B15800" w:rsidRPr="009B06B9">
        <w:rPr>
          <w:rFonts w:ascii="Faustina" w:hAnsi="Faustina" w:cs="Times-Roman"/>
          <w:lang w:val="es-AR" w:eastAsia="es-AR"/>
        </w:rPr>
        <w:t>Ciudad Autónoma de Buenos Aires</w:t>
      </w:r>
      <w:r w:rsidRPr="009B06B9">
        <w:rPr>
          <w:rFonts w:ascii="Faustina" w:hAnsi="Faustina" w:cs="Times-Roman"/>
          <w:lang w:val="es-AR" w:eastAsia="es-AR"/>
        </w:rPr>
        <w:t xml:space="preserve">, representada en este acto </w:t>
      </w:r>
      <w:r w:rsidRPr="00930633">
        <w:rPr>
          <w:rFonts w:ascii="Faustina" w:hAnsi="Faustina" w:cs="Times-Roman"/>
          <w:lang w:val="es-AR" w:eastAsia="es-AR"/>
        </w:rPr>
        <w:t xml:space="preserve">por </w:t>
      </w:r>
      <w:r w:rsidR="00B15800" w:rsidRPr="00930633">
        <w:rPr>
          <w:rFonts w:ascii="Faustina" w:hAnsi="Faustina" w:cs="Times-Roman"/>
          <w:lang w:val="es-AR" w:eastAsia="es-AR"/>
        </w:rPr>
        <w:t>la</w:t>
      </w:r>
      <w:r w:rsidR="00B15800" w:rsidRPr="009B06B9">
        <w:rPr>
          <w:rFonts w:ascii="Faustina" w:hAnsi="Faustina" w:cs="Times-Roman"/>
          <w:b/>
          <w:bCs/>
          <w:lang w:val="es-AR" w:eastAsia="es-AR"/>
        </w:rPr>
        <w:t xml:space="preserve"> Dra. María Cecilia Villafañe </w:t>
      </w:r>
      <w:r w:rsidRPr="009B06B9">
        <w:rPr>
          <w:rFonts w:ascii="Faustina" w:hAnsi="Faustina" w:cs="Times-Roman"/>
          <w:lang w:val="es-AR" w:eastAsia="es-AR"/>
        </w:rPr>
        <w:t>DNI N°</w:t>
      </w:r>
      <w:r w:rsidR="00B15800" w:rsidRPr="00B15800">
        <w:rPr>
          <w:rFonts w:ascii="Faustina" w:hAnsi="Faustina" w:cs="Times-Roman"/>
          <w:b/>
          <w:bCs/>
          <w:lang w:val="es-AR" w:eastAsia="es-AR"/>
        </w:rPr>
        <w:t>26</w:t>
      </w:r>
      <w:r w:rsidR="00B15800">
        <w:rPr>
          <w:rFonts w:ascii="Faustina" w:hAnsi="Faustina" w:cs="Times-Roman"/>
          <w:b/>
          <w:bCs/>
          <w:lang w:val="es-AR" w:eastAsia="es-AR"/>
        </w:rPr>
        <w:t>.104.559</w:t>
      </w:r>
      <w:r w:rsidRPr="00D87408">
        <w:rPr>
          <w:rFonts w:ascii="Faustina" w:hAnsi="Faustina" w:cs="Times-Roman"/>
          <w:lang w:val="es-AR" w:eastAsia="es-AR"/>
        </w:rPr>
        <w:t>, acuerdan celebrar el presente convenio marco de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cooperación el que se regirá por las siguientes cláusulas:</w:t>
      </w:r>
    </w:p>
    <w:p w14:paraId="6BC5B091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1A1391C8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>CLÁUSULA PRIMERA. OBJETO</w:t>
      </w:r>
      <w:r w:rsidRPr="00D87408">
        <w:rPr>
          <w:rFonts w:ascii="Faustina" w:hAnsi="Faustina" w:cs="Times-Roman"/>
          <w:lang w:val="es-AR" w:eastAsia="es-AR"/>
        </w:rPr>
        <w:t>. El objeto del presente convenio marco es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establecer una estrecha colaboración y constituir las pautas generales para el desarrollo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de planes de cooperación conjuntos entre las partes. Dichos planes podrán incluir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actividades de formación, capacitación, participación en redes, transferencia de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tecnología, consultoría, asistencia técnica y/o asesoramiento, intercambio de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documentación científica o cualquier otra actividad que resulte conveniente para el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cumplimiento de los fines comunes.</w:t>
      </w:r>
    </w:p>
    <w:p w14:paraId="7BCC56BB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69284329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>CLÁUSULA SEGUNDA. CONVENIOS ESPECÍFICOS</w:t>
      </w:r>
      <w:r w:rsidRPr="00D87408">
        <w:rPr>
          <w:rFonts w:ascii="Faustina" w:hAnsi="Faustina" w:cs="Times-Roman"/>
          <w:lang w:val="es-AR" w:eastAsia="es-AR"/>
        </w:rPr>
        <w:t>. Las modalidades y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condiciones de ejecución de las actividades que se realicen, estarán de acuerdo con las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normas que rigen en la materia y alcance para cada una de las partes firmantes, y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definidas a través de convenios específicos que se establezcan, en los que se indicará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denominación, descripción, y objetivos de las actividades, especificación de las tareas a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realizar, plazos, derechos, obligaciones de cada una de las partes y demás cuestiones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tendientes al logro de los objetivos que se fijen. Una vez fijados los soportes jurídicos,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académicos y económicos, se procederá al comienzo de las actividades.</w:t>
      </w:r>
    </w:p>
    <w:p w14:paraId="48A56638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Calibri"/>
          <w:lang w:val="es-AR" w:eastAsia="es-AR"/>
        </w:rPr>
      </w:pPr>
    </w:p>
    <w:p w14:paraId="0C4F4285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 xml:space="preserve">CLÁUSULA TERCERA. COORDINACIÓN. </w:t>
      </w:r>
      <w:r w:rsidRPr="00D87408">
        <w:rPr>
          <w:rFonts w:ascii="Faustina" w:hAnsi="Faustina" w:cs="Times-Roman"/>
          <w:lang w:val="es-AR" w:eastAsia="es-AR"/>
        </w:rPr>
        <w:t>Para los convenios específicos, cada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una de las partes designará a una persona responsable quien cumplirá las funciones de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nexo a los efectos de este acuerdo. Quien sea responsable deberá coordinar, a su vez, los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aspectos y actividades comprendidas en los convenios específicos que se deriven del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presente Convenio Marco. Las personas designadas por las partes podrán ser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reemplazadas por las mismas, sin previo aviso ni solicitud de conformidad de la otra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parte. Estos cambios serán comunicados a la otra parte de manera inmediata por medio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fehaciente.</w:t>
      </w:r>
    </w:p>
    <w:p w14:paraId="57B7A96E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3BEBB4E2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>CLÁUSULA CUARTA. APORTES ECONÓMICOS</w:t>
      </w:r>
      <w:r w:rsidRPr="00D87408">
        <w:rPr>
          <w:rFonts w:ascii="Faustina" w:hAnsi="Faustina" w:cs="Times-Roman"/>
          <w:lang w:val="es-AR" w:eastAsia="es-AR"/>
        </w:rPr>
        <w:t>. Los aportes económicos que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se obliguen realizar las partes para la ejecución de las actividades quedarán explicitados</w:t>
      </w:r>
    </w:p>
    <w:p w14:paraId="5C87065C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Roman"/>
          <w:lang w:val="es-AR" w:eastAsia="es-AR"/>
        </w:rPr>
        <w:lastRenderedPageBreak/>
        <w:t>en los Convenios Específicos que en cada caso se celebren.</w:t>
      </w:r>
    </w:p>
    <w:p w14:paraId="506DD4E9" w14:textId="77777777" w:rsidR="00B7240B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Bold"/>
          <w:b/>
          <w:bCs/>
          <w:lang w:val="es-AR" w:eastAsia="es-AR"/>
        </w:rPr>
      </w:pPr>
    </w:p>
    <w:p w14:paraId="7AB88A0F" w14:textId="3F07243E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 xml:space="preserve">CLÁUSULA QUINTA. DURACIÓN. </w:t>
      </w:r>
      <w:r w:rsidRPr="00D87408">
        <w:rPr>
          <w:rFonts w:ascii="Faustina" w:hAnsi="Faustina" w:cs="Times-Roman"/>
          <w:lang w:val="es-AR" w:eastAsia="es-AR"/>
        </w:rPr>
        <w:t>El presente Convenio comenzará a regir a partir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del día de su firma y mantendrá su vigencia mientras las partes no manifiesten su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voluntad de rescindirlo, dando aviso fehaciente a la otra parte con una anticipación no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menor a sesenta (60) días. Las actividades en curso de ejecución continuarán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cumpliéndose hasta su finalización. La rescisión por voluntad de una de las partes no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dará derecho a la otra para exigir indemnización alguna.</w:t>
      </w:r>
    </w:p>
    <w:p w14:paraId="1495664D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003EE9AB" w14:textId="77777777" w:rsidR="009D0D3F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 xml:space="preserve">CLÁUSULA SEXTA. SOLUCIÓN DE CONFLICTOS. </w:t>
      </w:r>
      <w:r w:rsidRPr="00D87408">
        <w:rPr>
          <w:rFonts w:ascii="Faustina" w:hAnsi="Faustina" w:cs="Times-Roman"/>
          <w:lang w:val="es-AR" w:eastAsia="es-AR"/>
        </w:rPr>
        <w:t>Las partes se comprometen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a resolver directamente entre ellas, los desacuerdos, diferencias y/o falta de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entendimiento que pudieran surgir. Cualquier diferencia derivada de la interpretación o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aplicación del presente y de sus acuerdos complementarios, que no pueda ser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solucionada amistosamente por las partes, será sometida a los Tribunales Federales de la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 xml:space="preserve">Ciudad de San Martín, </w:t>
      </w:r>
      <w:proofErr w:type="spellStart"/>
      <w:r w:rsidRPr="00D87408">
        <w:rPr>
          <w:rFonts w:ascii="Faustina" w:hAnsi="Faustina" w:cs="Times-Roman"/>
          <w:lang w:val="es-AR" w:eastAsia="es-AR"/>
        </w:rPr>
        <w:t>Pcia</w:t>
      </w:r>
      <w:proofErr w:type="spellEnd"/>
      <w:r w:rsidRPr="00D87408">
        <w:rPr>
          <w:rFonts w:ascii="Faustina" w:hAnsi="Faustina" w:cs="Times-Roman"/>
          <w:lang w:val="es-AR" w:eastAsia="es-AR"/>
        </w:rPr>
        <w:t>. de Buenos Aires.</w:t>
      </w:r>
    </w:p>
    <w:p w14:paraId="243606F6" w14:textId="77777777" w:rsidR="009D0D3F" w:rsidRDefault="009D0D3F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2729A355" w14:textId="77777777" w:rsidR="009D0D3F" w:rsidRDefault="009D0D3F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42824D66" w14:textId="76F6BA49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/>
        </w:rPr>
      </w:pP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 xml:space="preserve">A los </w:t>
      </w:r>
      <w:proofErr w:type="gramStart"/>
      <w:r w:rsidRPr="00D87408">
        <w:rPr>
          <w:rFonts w:ascii="Faustina" w:hAnsi="Faustina" w:cs="TimesNewRomanPSMT"/>
          <w:lang w:val="es-AR" w:eastAsia="es-AR"/>
        </w:rPr>
        <w:t>……</w:t>
      </w:r>
      <w:r w:rsidRPr="00D87408">
        <w:rPr>
          <w:rFonts w:ascii="Faustina" w:hAnsi="Faustina" w:cs="Times-Roman"/>
          <w:lang w:val="es-AR" w:eastAsia="es-AR"/>
        </w:rPr>
        <w:t>.</w:t>
      </w:r>
      <w:proofErr w:type="gramEnd"/>
      <w:r w:rsidRPr="00D87408">
        <w:rPr>
          <w:rFonts w:ascii="Faustina" w:hAnsi="Faustina" w:cs="Times-Roman"/>
          <w:lang w:val="es-AR" w:eastAsia="es-AR"/>
        </w:rPr>
        <w:t>días del mes de</w:t>
      </w:r>
      <w:r w:rsidRPr="00D87408">
        <w:rPr>
          <w:rFonts w:ascii="Faustina" w:hAnsi="Faustina" w:cs="TimesNewRomanPSMT"/>
          <w:lang w:val="es-AR" w:eastAsia="es-AR"/>
        </w:rPr>
        <w:t>……………</w:t>
      </w:r>
      <w:r w:rsidRPr="00D87408">
        <w:rPr>
          <w:rFonts w:ascii="Faustina" w:hAnsi="Faustina" w:cs="Times-Roman"/>
          <w:lang w:val="es-AR" w:eastAsia="es-AR"/>
        </w:rPr>
        <w:t>..de 202</w:t>
      </w:r>
      <w:r w:rsidR="00014BEE">
        <w:rPr>
          <w:rFonts w:ascii="Faustina" w:hAnsi="Faustina" w:cs="Times-Roman"/>
          <w:lang w:val="es-AR" w:eastAsia="es-AR"/>
        </w:rPr>
        <w:t>4</w:t>
      </w:r>
      <w:r w:rsidRPr="00D87408">
        <w:rPr>
          <w:rFonts w:ascii="Faustina" w:hAnsi="Faustina" w:cs="Times-Roman"/>
          <w:lang w:val="es-AR" w:eastAsia="es-AR"/>
        </w:rPr>
        <w:t>, en prueba de conformidad se firman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dos ejemplares de una mismo tener y a un solo efecto.</w:t>
      </w:r>
    </w:p>
    <w:p w14:paraId="14607FE6" w14:textId="77777777" w:rsidR="001B12EE" w:rsidRPr="00B7240B" w:rsidRDefault="001B12EE" w:rsidP="008B356F">
      <w:pPr>
        <w:ind w:firstLine="708"/>
        <w:jc w:val="both"/>
        <w:rPr>
          <w:rFonts w:ascii="Faustina" w:hAnsi="Faustina"/>
        </w:rPr>
      </w:pPr>
    </w:p>
    <w:sectPr w:rsidR="001B12EE" w:rsidRPr="00B7240B" w:rsidSect="00A92B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761" w:right="1701" w:bottom="1418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B9E9" w14:textId="77777777" w:rsidR="00A96B10" w:rsidRDefault="00A96B10" w:rsidP="00BE65F8">
      <w:r>
        <w:separator/>
      </w:r>
    </w:p>
  </w:endnote>
  <w:endnote w:type="continuationSeparator" w:id="0">
    <w:p w14:paraId="142A8B19" w14:textId="77777777" w:rsidR="00A96B10" w:rsidRDefault="00A96B10" w:rsidP="00BE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ustina">
    <w:altName w:val="Times New Roman"/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ira UNSAM Light">
    <w:altName w:val="Courier New"/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813133"/>
      <w:docPartObj>
        <w:docPartGallery w:val="Page Numbers (Bottom of Page)"/>
        <w:docPartUnique/>
      </w:docPartObj>
    </w:sdtPr>
    <w:sdtEndPr/>
    <w:sdtContent>
      <w:p w14:paraId="17D82823" w14:textId="42D283CE" w:rsidR="00A92B98" w:rsidRDefault="00A92B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800" w:rsidRPr="00B15800">
          <w:rPr>
            <w:noProof/>
            <w:lang w:val="es-ES"/>
          </w:rPr>
          <w:t>3</w:t>
        </w:r>
        <w:r>
          <w:fldChar w:fldCharType="end"/>
        </w:r>
      </w:p>
    </w:sdtContent>
  </w:sdt>
  <w:p w14:paraId="1C4BC23F" w14:textId="77777777" w:rsidR="00B65391" w:rsidRPr="000F4D76" w:rsidRDefault="00B65391" w:rsidP="00B65391">
    <w:pPr>
      <w:pStyle w:val="Piedepgina"/>
      <w:spacing w:line="480" w:lineRule="auto"/>
      <w:ind w:firstLine="142"/>
      <w:jc w:val="both"/>
      <w:rPr>
        <w:rFonts w:ascii="Saira UNSAM Light" w:hAnsi="Saira UNSAM Ligh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A87E" w14:textId="6127C1BC" w:rsidR="004F3C64" w:rsidRDefault="004F3C64" w:rsidP="00DD13B1">
    <w:pPr>
      <w:pStyle w:val="Piedepgina"/>
      <w:ind w:left="142"/>
      <w:jc w:val="center"/>
      <w:rPr>
        <w:rFonts w:ascii="Saira UNSAM Light" w:hAnsi="Saira UNSAM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5921" w14:textId="77777777" w:rsidR="00A96B10" w:rsidRDefault="00A96B10" w:rsidP="00BE65F8">
      <w:r>
        <w:separator/>
      </w:r>
    </w:p>
  </w:footnote>
  <w:footnote w:type="continuationSeparator" w:id="0">
    <w:p w14:paraId="11E00C0C" w14:textId="77777777" w:rsidR="00A96B10" w:rsidRDefault="00A96B10" w:rsidP="00BE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AA2D" w14:textId="77777777" w:rsidR="00BE65F8" w:rsidRDefault="00A8467A" w:rsidP="008A71A2">
    <w:pPr>
      <w:pStyle w:val="Encabezado"/>
      <w:ind w:left="142"/>
      <w:jc w:val="right"/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37063CFE" wp14:editId="055EAA5A">
          <wp:simplePos x="0" y="0"/>
          <wp:positionH relativeFrom="column">
            <wp:posOffset>-571500</wp:posOffset>
          </wp:positionH>
          <wp:positionV relativeFrom="paragraph">
            <wp:posOffset>124460</wp:posOffset>
          </wp:positionV>
          <wp:extent cx="685165" cy="605790"/>
          <wp:effectExtent l="0" t="0" r="635" b="3810"/>
          <wp:wrapSquare wrapText="bothSides"/>
          <wp:docPr id="7" name="Imagen 7" descr="Iso-UNS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-UNSA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77" t="-6092" r="-5977" b="-6092"/>
                  <a:stretch/>
                </pic:blipFill>
                <pic:spPr bwMode="auto">
                  <a:xfrm>
                    <a:off x="0" y="0"/>
                    <a:ext cx="68516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52BCF" w14:textId="77777777" w:rsidR="00BE65F8" w:rsidRDefault="00BE65F8" w:rsidP="008A71A2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65A6" w14:textId="6D681A79" w:rsidR="004F3C64" w:rsidRDefault="00C02820">
    <w:pPr>
      <w:pStyle w:val="Encabezado"/>
    </w:pPr>
    <w:r w:rsidRPr="00C02820">
      <w:rPr>
        <w:noProof/>
        <w:lang w:eastAsia="es-AR"/>
      </w:rPr>
      <w:drawing>
        <wp:anchor distT="0" distB="0" distL="114300" distR="114300" simplePos="0" relativeHeight="251662336" behindDoc="1" locked="0" layoutInCell="1" allowOverlap="1" wp14:anchorId="6B98D596" wp14:editId="4B35289A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2363453" cy="800100"/>
          <wp:effectExtent l="0" t="0" r="0" b="0"/>
          <wp:wrapTight wrapText="bothSides">
            <wp:wrapPolygon edited="0">
              <wp:start x="0" y="0"/>
              <wp:lineTo x="0" y="21086"/>
              <wp:lineTo x="21420" y="21086"/>
              <wp:lineTo x="21420" y="0"/>
              <wp:lineTo x="0" y="0"/>
            </wp:wrapPolygon>
          </wp:wrapTight>
          <wp:docPr id="4" name="Imagen 4" descr="C:\Users\itf\Downloads\EHy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tf\Downloads\EHy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53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5AE"/>
    <w:multiLevelType w:val="hybridMultilevel"/>
    <w:tmpl w:val="B40A906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EC0DBD"/>
    <w:multiLevelType w:val="hybridMultilevel"/>
    <w:tmpl w:val="937A4B22"/>
    <w:lvl w:ilvl="0" w:tplc="2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4C46A71"/>
    <w:multiLevelType w:val="multilevel"/>
    <w:tmpl w:val="723C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93EAC"/>
    <w:multiLevelType w:val="hybridMultilevel"/>
    <w:tmpl w:val="152A410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C6087"/>
    <w:multiLevelType w:val="multilevel"/>
    <w:tmpl w:val="EF68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6A61DA"/>
    <w:multiLevelType w:val="multilevel"/>
    <w:tmpl w:val="653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975603"/>
    <w:multiLevelType w:val="hybridMultilevel"/>
    <w:tmpl w:val="A760A9C4"/>
    <w:lvl w:ilvl="0" w:tplc="2C0A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2334FA"/>
    <w:multiLevelType w:val="multilevel"/>
    <w:tmpl w:val="20BC4360"/>
    <w:lvl w:ilvl="0">
      <w:start w:val="1"/>
      <w:numFmt w:val="bullet"/>
      <w:pStyle w:val="Ttulo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BCA7803"/>
    <w:multiLevelType w:val="hybridMultilevel"/>
    <w:tmpl w:val="BCDAA5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71BCB"/>
    <w:multiLevelType w:val="hybridMultilevel"/>
    <w:tmpl w:val="D94CF7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219E8"/>
    <w:multiLevelType w:val="hybridMultilevel"/>
    <w:tmpl w:val="E67E072C"/>
    <w:lvl w:ilvl="0" w:tplc="930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287"/>
    <w:multiLevelType w:val="multilevel"/>
    <w:tmpl w:val="1F52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0B0A93"/>
    <w:multiLevelType w:val="multilevel"/>
    <w:tmpl w:val="D26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1A4282"/>
    <w:multiLevelType w:val="hybridMultilevel"/>
    <w:tmpl w:val="680ADF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9107E"/>
    <w:multiLevelType w:val="hybridMultilevel"/>
    <w:tmpl w:val="B50CFD54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14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5F8"/>
    <w:rsid w:val="00000A93"/>
    <w:rsid w:val="00014BEE"/>
    <w:rsid w:val="00015610"/>
    <w:rsid w:val="00043E7F"/>
    <w:rsid w:val="0005778D"/>
    <w:rsid w:val="0007073F"/>
    <w:rsid w:val="0007546A"/>
    <w:rsid w:val="00083939"/>
    <w:rsid w:val="000839C7"/>
    <w:rsid w:val="000843B9"/>
    <w:rsid w:val="00091EED"/>
    <w:rsid w:val="000B3BC4"/>
    <w:rsid w:val="000C208B"/>
    <w:rsid w:val="000C5837"/>
    <w:rsid w:val="000D1036"/>
    <w:rsid w:val="000D2442"/>
    <w:rsid w:val="000E2ED9"/>
    <w:rsid w:val="000F4D76"/>
    <w:rsid w:val="001005DD"/>
    <w:rsid w:val="0010518D"/>
    <w:rsid w:val="00105397"/>
    <w:rsid w:val="00111393"/>
    <w:rsid w:val="00126282"/>
    <w:rsid w:val="0014576B"/>
    <w:rsid w:val="00162CF7"/>
    <w:rsid w:val="00170BD0"/>
    <w:rsid w:val="00171150"/>
    <w:rsid w:val="00191DA6"/>
    <w:rsid w:val="00197004"/>
    <w:rsid w:val="001B12EE"/>
    <w:rsid w:val="001C724D"/>
    <w:rsid w:val="001D1210"/>
    <w:rsid w:val="00217494"/>
    <w:rsid w:val="00253D14"/>
    <w:rsid w:val="002826AE"/>
    <w:rsid w:val="00291E26"/>
    <w:rsid w:val="002B23F9"/>
    <w:rsid w:val="002D03D7"/>
    <w:rsid w:val="002E6924"/>
    <w:rsid w:val="002F1DC1"/>
    <w:rsid w:val="0030414E"/>
    <w:rsid w:val="003221EA"/>
    <w:rsid w:val="003250B1"/>
    <w:rsid w:val="00336D6B"/>
    <w:rsid w:val="003D0E03"/>
    <w:rsid w:val="00402566"/>
    <w:rsid w:val="00404ED4"/>
    <w:rsid w:val="0040658A"/>
    <w:rsid w:val="00413F16"/>
    <w:rsid w:val="004363CA"/>
    <w:rsid w:val="004663CE"/>
    <w:rsid w:val="004902B0"/>
    <w:rsid w:val="004A5B8E"/>
    <w:rsid w:val="004B3B83"/>
    <w:rsid w:val="004B5C57"/>
    <w:rsid w:val="004D05A7"/>
    <w:rsid w:val="004D1A9B"/>
    <w:rsid w:val="004F3C64"/>
    <w:rsid w:val="004F6CA4"/>
    <w:rsid w:val="005028D9"/>
    <w:rsid w:val="0052555D"/>
    <w:rsid w:val="00542AD0"/>
    <w:rsid w:val="0055376A"/>
    <w:rsid w:val="00570FB5"/>
    <w:rsid w:val="0057307F"/>
    <w:rsid w:val="0057583F"/>
    <w:rsid w:val="00587FCE"/>
    <w:rsid w:val="005C2D74"/>
    <w:rsid w:val="005D2ECA"/>
    <w:rsid w:val="0061377A"/>
    <w:rsid w:val="0065453A"/>
    <w:rsid w:val="00666DD5"/>
    <w:rsid w:val="006701AB"/>
    <w:rsid w:val="006763CF"/>
    <w:rsid w:val="00686865"/>
    <w:rsid w:val="006A6C61"/>
    <w:rsid w:val="006B5321"/>
    <w:rsid w:val="006B75D0"/>
    <w:rsid w:val="006D1276"/>
    <w:rsid w:val="006D31C4"/>
    <w:rsid w:val="006D4CC9"/>
    <w:rsid w:val="006D51A7"/>
    <w:rsid w:val="006F61E3"/>
    <w:rsid w:val="0070577F"/>
    <w:rsid w:val="00713865"/>
    <w:rsid w:val="00787C5D"/>
    <w:rsid w:val="007930F5"/>
    <w:rsid w:val="0079425C"/>
    <w:rsid w:val="007A44B4"/>
    <w:rsid w:val="007B2A10"/>
    <w:rsid w:val="007D415C"/>
    <w:rsid w:val="007F17F9"/>
    <w:rsid w:val="007F5A08"/>
    <w:rsid w:val="00811A10"/>
    <w:rsid w:val="00826032"/>
    <w:rsid w:val="00835379"/>
    <w:rsid w:val="00837328"/>
    <w:rsid w:val="00844D3A"/>
    <w:rsid w:val="00852BC5"/>
    <w:rsid w:val="008711EE"/>
    <w:rsid w:val="008A71A2"/>
    <w:rsid w:val="008B356F"/>
    <w:rsid w:val="008B528D"/>
    <w:rsid w:val="008C7F58"/>
    <w:rsid w:val="008D6223"/>
    <w:rsid w:val="008E5267"/>
    <w:rsid w:val="008F5888"/>
    <w:rsid w:val="00916524"/>
    <w:rsid w:val="009229D4"/>
    <w:rsid w:val="00930633"/>
    <w:rsid w:val="00946335"/>
    <w:rsid w:val="00952B36"/>
    <w:rsid w:val="00955081"/>
    <w:rsid w:val="00955C26"/>
    <w:rsid w:val="009A457F"/>
    <w:rsid w:val="009B06B9"/>
    <w:rsid w:val="009C3CD2"/>
    <w:rsid w:val="009C5455"/>
    <w:rsid w:val="009D0D3F"/>
    <w:rsid w:val="009F6111"/>
    <w:rsid w:val="00A2245F"/>
    <w:rsid w:val="00A227BB"/>
    <w:rsid w:val="00A36CEE"/>
    <w:rsid w:val="00A512CA"/>
    <w:rsid w:val="00A527E5"/>
    <w:rsid w:val="00A63BC4"/>
    <w:rsid w:val="00A63E51"/>
    <w:rsid w:val="00A645F6"/>
    <w:rsid w:val="00A8467A"/>
    <w:rsid w:val="00A92B98"/>
    <w:rsid w:val="00A958B5"/>
    <w:rsid w:val="00A96B10"/>
    <w:rsid w:val="00A96D65"/>
    <w:rsid w:val="00AA6FF2"/>
    <w:rsid w:val="00AC0415"/>
    <w:rsid w:val="00AE5ABF"/>
    <w:rsid w:val="00AF61F0"/>
    <w:rsid w:val="00B0528C"/>
    <w:rsid w:val="00B15800"/>
    <w:rsid w:val="00B25675"/>
    <w:rsid w:val="00B26D71"/>
    <w:rsid w:val="00B36C23"/>
    <w:rsid w:val="00B518FE"/>
    <w:rsid w:val="00B60357"/>
    <w:rsid w:val="00B65391"/>
    <w:rsid w:val="00B704A6"/>
    <w:rsid w:val="00B7240B"/>
    <w:rsid w:val="00B9002B"/>
    <w:rsid w:val="00B90926"/>
    <w:rsid w:val="00B948A6"/>
    <w:rsid w:val="00BA57CE"/>
    <w:rsid w:val="00BA6FFF"/>
    <w:rsid w:val="00BD461F"/>
    <w:rsid w:val="00BE0347"/>
    <w:rsid w:val="00BE2CE5"/>
    <w:rsid w:val="00BE55D9"/>
    <w:rsid w:val="00BE65F8"/>
    <w:rsid w:val="00C00B32"/>
    <w:rsid w:val="00C02820"/>
    <w:rsid w:val="00C26086"/>
    <w:rsid w:val="00C35891"/>
    <w:rsid w:val="00C56CC7"/>
    <w:rsid w:val="00C649C3"/>
    <w:rsid w:val="00CA3E63"/>
    <w:rsid w:val="00CB4E91"/>
    <w:rsid w:val="00CE1683"/>
    <w:rsid w:val="00CF52EA"/>
    <w:rsid w:val="00D2762F"/>
    <w:rsid w:val="00D51B92"/>
    <w:rsid w:val="00D57880"/>
    <w:rsid w:val="00D717A8"/>
    <w:rsid w:val="00D76AB3"/>
    <w:rsid w:val="00D91B96"/>
    <w:rsid w:val="00DC2FA5"/>
    <w:rsid w:val="00DC4095"/>
    <w:rsid w:val="00DC6879"/>
    <w:rsid w:val="00DD13B1"/>
    <w:rsid w:val="00DE0E28"/>
    <w:rsid w:val="00DE621D"/>
    <w:rsid w:val="00E07B4A"/>
    <w:rsid w:val="00E33EA7"/>
    <w:rsid w:val="00E3426D"/>
    <w:rsid w:val="00EE55BD"/>
    <w:rsid w:val="00EE61E1"/>
    <w:rsid w:val="00EF4D69"/>
    <w:rsid w:val="00F56573"/>
    <w:rsid w:val="00F7107B"/>
    <w:rsid w:val="00F955EA"/>
    <w:rsid w:val="00FA486C"/>
    <w:rsid w:val="00FB57AA"/>
    <w:rsid w:val="00FC1208"/>
    <w:rsid w:val="00FC2086"/>
    <w:rsid w:val="00FF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689272"/>
  <w15:docId w15:val="{7042BE57-70B8-4D2E-9570-84E5332D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939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92B98"/>
    <w:pPr>
      <w:keepNext/>
      <w:keepLines/>
      <w:numPr>
        <w:numId w:val="8"/>
      </w:numPr>
      <w:suppressAutoHyphens/>
      <w:spacing w:before="120" w:after="12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8"/>
      <w:lang w:val="x-none"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A92B98"/>
    <w:pPr>
      <w:keepNext/>
      <w:keepLines/>
      <w:suppressAutoHyphens/>
      <w:spacing w:before="360" w:after="80" w:line="276" w:lineRule="auto"/>
      <w:outlineLvl w:val="1"/>
    </w:pPr>
    <w:rPr>
      <w:rFonts w:ascii="Calibri" w:eastAsia="Times New Roman" w:hAnsi="Calibri" w:cs="Times New Roman"/>
      <w:b/>
      <w:sz w:val="36"/>
      <w:szCs w:val="36"/>
      <w:lang w:val="fr-FR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4D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5F8"/>
    <w:pPr>
      <w:tabs>
        <w:tab w:val="center" w:pos="4252"/>
        <w:tab w:val="right" w:pos="8504"/>
      </w:tabs>
    </w:pPr>
    <w:rPr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BE65F8"/>
  </w:style>
  <w:style w:type="paragraph" w:styleId="Piedepgina">
    <w:name w:val="footer"/>
    <w:basedOn w:val="Normal"/>
    <w:link w:val="PiedepginaCar"/>
    <w:uiPriority w:val="99"/>
    <w:unhideWhenUsed/>
    <w:rsid w:val="00BE65F8"/>
    <w:pPr>
      <w:tabs>
        <w:tab w:val="center" w:pos="4252"/>
        <w:tab w:val="right" w:pos="8504"/>
      </w:tabs>
    </w:pPr>
    <w:rPr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65F8"/>
  </w:style>
  <w:style w:type="character" w:styleId="Hipervnculo">
    <w:name w:val="Hyperlink"/>
    <w:basedOn w:val="Fuentedeprrafopredeter"/>
    <w:uiPriority w:val="99"/>
    <w:unhideWhenUsed/>
    <w:rsid w:val="00B653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D7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958B5"/>
    <w:pPr>
      <w:ind w:left="720"/>
      <w:contextualSpacing/>
    </w:pPr>
  </w:style>
  <w:style w:type="paragraph" w:customStyle="1" w:styleId="Default">
    <w:name w:val="Default"/>
    <w:rsid w:val="005028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92B98"/>
    <w:rPr>
      <w:rFonts w:ascii="Times New Roman" w:eastAsia="Times New Roman" w:hAnsi="Times New Roman" w:cs="Times New Roman"/>
      <w:b/>
      <w:bCs/>
      <w:sz w:val="20"/>
      <w:szCs w:val="28"/>
      <w:lang w:val="x-none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A92B98"/>
    <w:rPr>
      <w:rFonts w:ascii="Calibri" w:eastAsia="Times New Roman" w:hAnsi="Calibri" w:cs="Times New Roman"/>
      <w:b/>
      <w:sz w:val="36"/>
      <w:szCs w:val="36"/>
      <w:lang w:val="fr-FR" w:eastAsia="zh-CN"/>
    </w:rPr>
  </w:style>
  <w:style w:type="table" w:styleId="Tablaconcuadrcula">
    <w:name w:val="Table Grid"/>
    <w:basedOn w:val="Tablanormal"/>
    <w:uiPriority w:val="59"/>
    <w:rsid w:val="00A92B98"/>
    <w:pPr>
      <w:spacing w:after="0" w:line="240" w:lineRule="auto"/>
    </w:pPr>
    <w:rPr>
      <w:rFonts w:ascii="Calibri" w:eastAsia="Calibri" w:hAnsi="Calibri" w:cs="Calibri"/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DD13B1"/>
    <w:pPr>
      <w:ind w:firstLine="709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3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31C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4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494"/>
    <w:rPr>
      <w:rFonts w:ascii="Segoe UI" w:hAnsi="Segoe UI" w:cs="Segoe UI"/>
      <w:sz w:val="18"/>
      <w:szCs w:val="18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F61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EF4D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4192B-7435-434A-8D40-0E9BF256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Julieta Oro</dc:creator>
  <cp:lastModifiedBy>Melisa Rubelj</cp:lastModifiedBy>
  <cp:revision>11</cp:revision>
  <cp:lastPrinted>2022-03-02T18:38:00Z</cp:lastPrinted>
  <dcterms:created xsi:type="dcterms:W3CDTF">2023-05-08T17:28:00Z</dcterms:created>
  <dcterms:modified xsi:type="dcterms:W3CDTF">2024-09-02T18:15:00Z</dcterms:modified>
</cp:coreProperties>
</file>